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drawing>
          <wp:inline distB="0" distT="0" distL="0" distR="0">
            <wp:extent cx="1358900" cy="527050"/>
            <wp:effectExtent b="0" l="0" r="0" t="0"/>
            <wp:docPr descr="cid:image001.png@01D50A42.C60010B0" id="1" name="image1.png"/>
            <a:graphic>
              <a:graphicData uri="http://schemas.openxmlformats.org/drawingml/2006/picture">
                <pic:pic>
                  <pic:nvPicPr>
                    <pic:cNvPr descr="cid:image001.png@01D50A42.C60010B0" id="0" name="image1.png"/>
                    <pic:cNvPicPr preferRelativeResize="0"/>
                  </pic:nvPicPr>
                  <pic:blipFill>
                    <a:blip r:embed="rId6"/>
                    <a:srcRect b="0" l="0" r="0" t="0"/>
                    <a:stretch>
                      <a:fillRect/>
                    </a:stretch>
                  </pic:blipFill>
                  <pic:spPr>
                    <a:xfrm>
                      <a:off x="0" y="0"/>
                      <a:ext cx="1358900" cy="527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0"/>
          <w:szCs w:val="20"/>
        </w:rPr>
      </w:pPr>
      <w:r w:rsidDel="00000000" w:rsidR="00000000" w:rsidRPr="00000000">
        <w:rPr>
          <w:rFonts w:ascii="Verdana" w:cs="Verdana" w:eastAsia="Verdana" w:hAnsi="Verdana"/>
          <w:b w:val="1"/>
          <w:sz w:val="28"/>
          <w:szCs w:val="28"/>
          <w:rtl w:val="0"/>
        </w:rPr>
        <w:t xml:space="preserve">Canadian International Internet Dispute Resolution Centre</w:t>
      </w: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0"/>
          <w:szCs w:val="20"/>
        </w:rPr>
      </w:pPr>
      <w:bookmarkStart w:colFirst="0" w:colLast="0" w:name="_gjdgxs" w:id="0"/>
      <w:bookmarkEnd w:id="0"/>
      <w:r w:rsidDel="00000000" w:rsidR="00000000" w:rsidRPr="00000000">
        <w:rPr>
          <w:rFonts w:ascii="Verdana" w:cs="Verdana" w:eastAsia="Verdana" w:hAnsi="Verdana"/>
          <w:b w:val="1"/>
          <w:sz w:val="20"/>
          <w:szCs w:val="20"/>
          <w:rtl w:val="0"/>
        </w:rPr>
        <w:t xml:space="preserve">                                               STANDARD SETTLEMENT FORM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534"/>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Standard Settleme nt Form Pur                                    </w:t>
      </w:r>
      <w:r w:rsidDel="00000000" w:rsidR="00000000" w:rsidRPr="00000000">
        <w:rPr>
          <w:rFonts w:ascii="Verdana" w:cs="Verdana" w:eastAsia="Verdana" w:hAnsi="Verdana"/>
          <w:sz w:val="20"/>
          <w:szCs w:val="20"/>
          <w:rtl w:val="0"/>
        </w:rPr>
        <w:t xml:space="preserve">Standard Settlement Form Pursuant to UDRP Rule 17</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534"/>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021"/>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021"/>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Case No.</w:t>
      </w:r>
      <w:r w:rsidDel="00000000" w:rsidR="00000000" w:rsidRPr="00000000">
        <w:rPr>
          <w:rFonts w:ascii="Verdana" w:cs="Verdana" w:eastAsia="Verdana" w:hAnsi="Verdana"/>
          <w:b w:val="1"/>
          <w:i w:val="0"/>
          <w:smallCaps w:val="0"/>
          <w:strike w:val="0"/>
          <w:color w:val="ff0000"/>
          <w:sz w:val="20"/>
          <w:szCs w:val="20"/>
          <w:u w:val="none"/>
          <w:shd w:fill="auto" w:val="clear"/>
          <w:vertAlign w:val="baseline"/>
          <w:rtl w:val="0"/>
        </w:rPr>
        <w:t xml:space="preserve"> </w:t>
      </w:r>
      <w:r w:rsidDel="00000000" w:rsidR="00000000" w:rsidRPr="00000000">
        <w:rPr>
          <w:rFonts w:ascii="Noto Sans Symbols" w:cs="Noto Sans Symbols" w:eastAsia="Noto Sans Symbols" w:hAnsi="Noto Sans Symbols"/>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ff0000"/>
          <w:sz w:val="24"/>
          <w:szCs w:val="24"/>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021"/>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Standard Settlement Form is submitted by the Parties pursuant to Rule 17(a) of the Rules for Uniform Domain Name Dispute Resolution Policy (the “UDRP Rules”) as approved by the Internet Corporation for Assigned Names and Numbers (“ICANN”) on September 28, 2013, and in effect as of July 31, 2015. </w:t>
      </w:r>
    </w:p>
    <w:p w:rsidR="00000000" w:rsidDel="00000000" w:rsidP="00000000" w:rsidRDefault="00000000" w:rsidRPr="00000000" w14:paraId="0000000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form does not embody an agreement to settle the administrative proceeding but is to note the essential terms of a settlement agreement requiring Registrar action specified below. </w:t>
      </w:r>
    </w:p>
    <w:p w:rsidR="00000000" w:rsidDel="00000000" w:rsidP="00000000" w:rsidRDefault="00000000" w:rsidRPr="00000000" w14:paraId="0000000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Canadian International Internet Dispute Resolution Centre (the “Centre”) will not disclose the completed Standard Settlement Form or its contents to any third-party. </w:t>
      </w:r>
    </w:p>
    <w:p w:rsidR="00000000" w:rsidDel="00000000" w:rsidP="00000000" w:rsidRDefault="00000000" w:rsidRPr="00000000" w14:paraId="0000000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Parties have reached an agreement regarding the following disputed domain name(s): </w:t>
      </w:r>
    </w:p>
    <w:p w:rsidR="00000000" w:rsidDel="00000000" w:rsidP="00000000" w:rsidRDefault="00000000" w:rsidRPr="00000000" w14:paraId="0000000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1"/>
          <w:sz w:val="20"/>
          <w:szCs w:val="20"/>
          <w:rtl w:val="0"/>
        </w:rPr>
        <w:t xml:space="preserve">&lt;disputed domain name(s)&gt;</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Pursuant to such agreement, the Parties request the Registrar to take the following action [</w:t>
      </w:r>
      <w:r w:rsidDel="00000000" w:rsidR="00000000" w:rsidRPr="00000000">
        <w:rPr>
          <w:rFonts w:ascii="Verdana" w:cs="Verdana" w:eastAsia="Verdana" w:hAnsi="Verdana"/>
          <w:b w:val="1"/>
          <w:sz w:val="20"/>
          <w:szCs w:val="20"/>
          <w:rtl w:val="0"/>
        </w:rPr>
        <w:t xml:space="preserve">select one of the following options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F">
      <w:pPr>
        <w:ind w:left="56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t xml:space="preserve">The disputed domain name(s) should be transferred from the Respondent’s control to the Complainant.  [</w:t>
      </w:r>
      <w:r w:rsidDel="00000000" w:rsidR="00000000" w:rsidRPr="00000000">
        <w:rPr>
          <w:rFonts w:ascii="Verdana" w:cs="Verdana" w:eastAsia="Verdana" w:hAnsi="Verdana"/>
          <w:b w:val="1"/>
          <w:sz w:val="20"/>
          <w:szCs w:val="20"/>
          <w:rtl w:val="0"/>
        </w:rPr>
        <w:t xml:space="preserve">If there are multiple complainants, please indicate the complainant to which the disputed domain name(s) is/are to be transferred.</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0">
      <w:pPr>
        <w:ind w:left="56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  ]</w:t>
        <w:tab/>
        <w:t xml:space="preserve">The disputed domain name(s) should be cancelled. </w:t>
      </w:r>
    </w:p>
    <w:p w:rsidR="00000000" w:rsidDel="00000000" w:rsidP="00000000" w:rsidRDefault="00000000" w:rsidRPr="00000000" w14:paraId="0000001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Unless the parties’ settlement agreement provides otherwise, the Centre will dismiss the administrative proceeding in compliance with the parties’ agreement without prejudice.   </w:t>
      </w:r>
    </w:p>
    <w:p w:rsidR="00000000" w:rsidDel="00000000" w:rsidP="00000000" w:rsidRDefault="00000000" w:rsidRPr="00000000" w14:paraId="00000012">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/s/__________________</w:t>
      </w:r>
      <w:r w:rsidDel="00000000" w:rsidR="00000000" w:rsidRPr="00000000">
        <w:rPr>
          <w:rFonts w:ascii="Verdana" w:cs="Verdana" w:eastAsia="Verdana" w:hAnsi="Verdana"/>
          <w:sz w:val="20"/>
          <w:szCs w:val="20"/>
          <w:rtl w:val="0"/>
        </w:rPr>
        <w:tab/>
        <w:tab/>
        <w:tab/>
        <w:t xml:space="preserve"> </w:t>
        <w:tab/>
        <w:tab/>
        <w:t xml:space="preserve">          </w:t>
      </w:r>
      <w:r w:rsidDel="00000000" w:rsidR="00000000" w:rsidRPr="00000000">
        <w:rPr>
          <w:rFonts w:ascii="Verdana" w:cs="Verdana" w:eastAsia="Verdana" w:hAnsi="Verdana"/>
          <w:sz w:val="20"/>
          <w:szCs w:val="20"/>
          <w:u w:val="single"/>
          <w:rtl w:val="0"/>
        </w:rPr>
        <w:t xml:space="preserve">/s/__________________</w:t>
      </w:r>
    </w:p>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 behalf of Complainant</w:t>
        <w:tab/>
        <w:t xml:space="preserve"> </w:t>
        <w:tab/>
        <w:tab/>
        <w:tab/>
        <w:t xml:space="preserve">                    On behalf of Respondent</w:t>
        <w:br w:type="textWrapping"/>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w:t>
        <w:tab/>
        <w:tab/>
        <w:tab/>
        <w:tab/>
        <w:tab/>
        <w:tab/>
        <w:tab/>
        <w:tab/>
        <w:tab/>
        <w:t xml:space="preserve">Date: </w:t>
      </w:r>
    </w:p>
    <w:p w:rsidR="00000000" w:rsidDel="00000000" w:rsidP="00000000" w:rsidRDefault="00000000" w:rsidRPr="00000000" w14:paraId="00000016">
      <w:pPr>
        <w:rPr/>
      </w:pPr>
      <w:r w:rsidDel="00000000" w:rsidR="00000000" w:rsidRPr="00000000">
        <w:rPr>
          <w:rtl w:val="0"/>
        </w:rPr>
      </w:r>
    </w:p>
    <w:sectPr>
      <w:footerReference r:id="rId7" w:type="default"/>
      <w:pgSz w:h="15840" w:w="12240"/>
      <w:pgMar w:bottom="1134"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